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9B" w:rsidRPr="00FF0CE9" w:rsidRDefault="00C469FE" w:rsidP="00766F0F">
      <w:pPr>
        <w:spacing w:afterLines="50" w:after="177"/>
        <w:jc w:val="center"/>
        <w:rPr>
          <w:rFonts w:ascii="AR P丸ゴシック体M" w:eastAsia="AR P丸ゴシック体M"/>
          <w:sz w:val="28"/>
        </w:rPr>
      </w:pPr>
      <w:r w:rsidRPr="00FF0CE9">
        <w:rPr>
          <w:rFonts w:ascii="AR P丸ゴシック体M" w:eastAsia="AR P丸ゴシック体M" w:hint="eastAsia"/>
          <w:sz w:val="28"/>
        </w:rPr>
        <w:t>大会時における眼鏡使用について</w:t>
      </w:r>
    </w:p>
    <w:p w:rsidR="00C469FE" w:rsidRPr="00FF0CE9" w:rsidRDefault="00C469FE" w:rsidP="00766F0F">
      <w:pPr>
        <w:spacing w:afterLines="50" w:after="177"/>
        <w:rPr>
          <w:rFonts w:ascii="AR P丸ゴシック体M" w:eastAsia="AR P丸ゴシック体M"/>
          <w:sz w:val="24"/>
        </w:rPr>
      </w:pPr>
      <w:r w:rsidRPr="00FF0CE9">
        <w:rPr>
          <w:rFonts w:ascii="AR P丸ゴシック体M" w:eastAsia="AR P丸ゴシック体M" w:hint="eastAsia"/>
        </w:rPr>
        <w:t xml:space="preserve">　</w:t>
      </w:r>
      <w:r w:rsidR="00F32D6A" w:rsidRPr="00FF0CE9">
        <w:rPr>
          <w:rFonts w:ascii="AR P丸ゴシック体M" w:eastAsia="AR P丸ゴシック体M" w:hint="eastAsia"/>
          <w:sz w:val="24"/>
        </w:rPr>
        <w:t>大会時には怪我防止</w:t>
      </w:r>
      <w:r w:rsidR="00FF0CE9" w:rsidRPr="00FF0CE9">
        <w:rPr>
          <w:rFonts w:ascii="AR P丸ゴシック体M" w:eastAsia="AR P丸ゴシック体M" w:hint="eastAsia"/>
          <w:sz w:val="24"/>
        </w:rPr>
        <w:t>のため（自身だけでなく，相手にも怪我をさせない）</w:t>
      </w:r>
      <w:r w:rsidR="00766F0F">
        <w:rPr>
          <w:rFonts w:ascii="AR P丸ゴシック体M" w:eastAsia="AR P丸ゴシック体M" w:hint="eastAsia"/>
          <w:sz w:val="24"/>
        </w:rPr>
        <w:t>，安全対策のとられた眼鏡を使用すること</w:t>
      </w:r>
      <w:r w:rsidR="00F32D6A" w:rsidRPr="00FF0CE9">
        <w:rPr>
          <w:rFonts w:ascii="AR P丸ゴシック体M" w:eastAsia="AR P丸ゴシック体M" w:hint="eastAsia"/>
          <w:sz w:val="24"/>
        </w:rPr>
        <w:t>。</w:t>
      </w:r>
    </w:p>
    <w:p w:rsidR="00F32D6A" w:rsidRPr="00FF0CE9" w:rsidRDefault="00DF4660">
      <w:pPr>
        <w:rPr>
          <w:rFonts w:ascii="AR P丸ゴシック体M" w:eastAsia="AR P丸ゴシック体M"/>
          <w:sz w:val="22"/>
        </w:rPr>
      </w:pPr>
      <w:r w:rsidRPr="00FF0CE9">
        <w:rPr>
          <w:rFonts w:ascii="AR P丸ゴシック体M" w:eastAsia="AR P丸ゴシック体M" w:hint="eastAsia"/>
          <w:sz w:val="22"/>
        </w:rPr>
        <w:t>≪仕様≫</w:t>
      </w:r>
      <w:r w:rsidR="00867E7D">
        <w:rPr>
          <w:rFonts w:ascii="AR P丸ゴシック体M" w:eastAsia="AR P丸ゴシック体M" w:hint="eastAsia"/>
          <w:sz w:val="22"/>
        </w:rPr>
        <w:t xml:space="preserve">　</w:t>
      </w:r>
      <w:r w:rsidR="00867E7D" w:rsidRPr="003D2EEA">
        <w:rPr>
          <w:rFonts w:ascii="AR P丸ゴシック体M" w:eastAsia="AR P丸ゴシック体M" w:hint="eastAsia"/>
          <w:b/>
          <w:sz w:val="22"/>
        </w:rPr>
        <w:t>球技用→アイガードタイプ</w:t>
      </w:r>
    </w:p>
    <w:p w:rsidR="00DF4660" w:rsidRPr="00FF0CE9" w:rsidRDefault="00DF4660" w:rsidP="00DF4660">
      <w:pPr>
        <w:pStyle w:val="a5"/>
        <w:numPr>
          <w:ilvl w:val="0"/>
          <w:numId w:val="2"/>
        </w:numPr>
        <w:ind w:leftChars="0"/>
        <w:rPr>
          <w:rFonts w:ascii="AR P丸ゴシック体M" w:eastAsia="AR P丸ゴシック体M"/>
          <w:sz w:val="22"/>
        </w:rPr>
      </w:pPr>
      <w:r w:rsidRPr="00FF0CE9">
        <w:rPr>
          <w:rFonts w:ascii="AR P丸ゴシック体M" w:eastAsia="AR P丸ゴシック体M" w:hint="eastAsia"/>
          <w:sz w:val="22"/>
        </w:rPr>
        <w:t>落下防止策が施されているもの。</w:t>
      </w:r>
    </w:p>
    <w:p w:rsidR="00DF4660" w:rsidRPr="00FF0CE9" w:rsidRDefault="00DF4660" w:rsidP="00DF4660">
      <w:pPr>
        <w:pStyle w:val="a5"/>
        <w:ind w:leftChars="0" w:left="420"/>
        <w:rPr>
          <w:rFonts w:ascii="AR P丸ゴシック体M" w:eastAsia="AR P丸ゴシック体M"/>
          <w:sz w:val="22"/>
        </w:rPr>
      </w:pPr>
      <w:r w:rsidRPr="00FF0CE9">
        <w:rPr>
          <w:rFonts w:ascii="AR P丸ゴシック体M" w:eastAsia="AR P丸ゴシック体M" w:hint="eastAsia"/>
          <w:sz w:val="22"/>
        </w:rPr>
        <w:t>ベルトで固定されている</w:t>
      </w:r>
      <w:r w:rsidR="00635113" w:rsidRPr="00FF0CE9">
        <w:rPr>
          <w:rFonts w:ascii="AR P丸ゴシック体M" w:eastAsia="AR P丸ゴシック体M" w:hint="eastAsia"/>
          <w:sz w:val="22"/>
        </w:rPr>
        <w:t>こと</w:t>
      </w:r>
    </w:p>
    <w:p w:rsidR="00DF4660" w:rsidRPr="00FF0CE9" w:rsidRDefault="00DF4660" w:rsidP="00DF4660">
      <w:pPr>
        <w:pStyle w:val="a5"/>
        <w:numPr>
          <w:ilvl w:val="0"/>
          <w:numId w:val="2"/>
        </w:numPr>
        <w:ind w:leftChars="0"/>
        <w:rPr>
          <w:rFonts w:ascii="AR P丸ゴシック体M" w:eastAsia="AR P丸ゴシック体M"/>
          <w:sz w:val="22"/>
        </w:rPr>
      </w:pPr>
      <w:r w:rsidRPr="00FF0CE9">
        <w:rPr>
          <w:rFonts w:ascii="AR P丸ゴシック体M" w:eastAsia="AR P丸ゴシック体M" w:hint="eastAsia"/>
          <w:sz w:val="22"/>
        </w:rPr>
        <w:t>衝撃吸収策が施されているもの。</w:t>
      </w:r>
    </w:p>
    <w:p w:rsidR="00DF4660" w:rsidRPr="00FF0CE9" w:rsidRDefault="00635113" w:rsidP="00DF4660">
      <w:pPr>
        <w:rPr>
          <w:rFonts w:ascii="AR P丸ゴシック体M" w:eastAsia="AR P丸ゴシック体M"/>
          <w:sz w:val="22"/>
        </w:rPr>
      </w:pPr>
      <w:r w:rsidRPr="00FF0CE9">
        <w:rPr>
          <w:rFonts w:ascii="AR P丸ゴシック体M" w:eastAsia="AR P丸ゴシック体M" w:hint="eastAsia"/>
          <w:sz w:val="22"/>
        </w:rPr>
        <w:t xml:space="preserve">　　</w:t>
      </w:r>
      <w:r w:rsidR="00DF4660" w:rsidRPr="00FF0CE9">
        <w:rPr>
          <w:rFonts w:ascii="AR P丸ゴシック体M" w:eastAsia="AR P丸ゴシック体M" w:hint="eastAsia"/>
          <w:bCs/>
          <w:sz w:val="22"/>
        </w:rPr>
        <w:t>フレームの内側に適度なクッションがついていること</w:t>
      </w:r>
      <w:r w:rsidRPr="00FF0CE9">
        <w:rPr>
          <w:rFonts w:ascii="AR P丸ゴシック体M" w:eastAsia="AR P丸ゴシック体M" w:hint="eastAsia"/>
          <w:bCs/>
          <w:sz w:val="22"/>
        </w:rPr>
        <w:t>（</w:t>
      </w:r>
      <w:r w:rsidR="00FF0CE9" w:rsidRPr="00FF0CE9">
        <w:rPr>
          <w:rFonts w:ascii="AR P丸ゴシック体M" w:eastAsia="AR P丸ゴシック体M" w:hint="eastAsia"/>
          <w:bCs/>
          <w:sz w:val="22"/>
        </w:rPr>
        <w:t>鼻当て、こめかみ、額を</w:t>
      </w:r>
      <w:r w:rsidR="00DF4660" w:rsidRPr="00FF0CE9">
        <w:rPr>
          <w:rFonts w:ascii="AR P丸ゴシック体M" w:eastAsia="AR P丸ゴシック体M" w:hint="eastAsia"/>
          <w:bCs/>
          <w:sz w:val="22"/>
        </w:rPr>
        <w:t>保護する</w:t>
      </w:r>
      <w:r w:rsidRPr="00FF0CE9">
        <w:rPr>
          <w:rFonts w:ascii="AR P丸ゴシック体M" w:eastAsia="AR P丸ゴシック体M" w:hint="eastAsia"/>
          <w:bCs/>
          <w:sz w:val="22"/>
        </w:rPr>
        <w:t>）</w:t>
      </w:r>
    </w:p>
    <w:p w:rsidR="00DF4660" w:rsidRPr="00FF0CE9" w:rsidRDefault="00DF4660" w:rsidP="00DF4660">
      <w:pPr>
        <w:pStyle w:val="a5"/>
        <w:numPr>
          <w:ilvl w:val="0"/>
          <w:numId w:val="2"/>
        </w:numPr>
        <w:ind w:leftChars="0"/>
        <w:rPr>
          <w:rFonts w:ascii="AR P丸ゴシック体M" w:eastAsia="AR P丸ゴシック体M"/>
          <w:sz w:val="22"/>
        </w:rPr>
      </w:pPr>
      <w:r w:rsidRPr="00FF0CE9">
        <w:rPr>
          <w:rFonts w:ascii="AR P丸ゴシック体M" w:eastAsia="AR P丸ゴシック体M" w:hint="eastAsia"/>
          <w:sz w:val="22"/>
        </w:rPr>
        <w:t>レンズの破損防止策が施されているもの。</w:t>
      </w:r>
    </w:p>
    <w:p w:rsidR="00DF4660" w:rsidRPr="00FF0CE9" w:rsidRDefault="00635113" w:rsidP="00DF4660">
      <w:pPr>
        <w:rPr>
          <w:rFonts w:ascii="AR P丸ゴシック体M" w:eastAsia="AR P丸ゴシック体M"/>
          <w:bCs/>
          <w:sz w:val="22"/>
        </w:rPr>
      </w:pPr>
      <w:r w:rsidRPr="00FF0CE9">
        <w:rPr>
          <w:rFonts w:ascii="AR P丸ゴシック体M" w:eastAsia="AR P丸ゴシック体M" w:hint="eastAsia"/>
          <w:sz w:val="22"/>
        </w:rPr>
        <w:t xml:space="preserve">　・</w:t>
      </w:r>
      <w:r w:rsidRPr="00FF0CE9">
        <w:rPr>
          <w:rFonts w:ascii="AR P丸ゴシック体M" w:eastAsia="AR P丸ゴシック体M" w:hint="eastAsia"/>
          <w:bCs/>
          <w:sz w:val="22"/>
        </w:rPr>
        <w:t>強化レンズを使用していること</w:t>
      </w:r>
    </w:p>
    <w:p w:rsidR="00FF0CE9" w:rsidRPr="00FF0CE9" w:rsidRDefault="00FF0CE9" w:rsidP="00DF4660">
      <w:pPr>
        <w:rPr>
          <w:rFonts w:ascii="AR P丸ゴシック体M" w:eastAsia="AR P丸ゴシック体M"/>
          <w:sz w:val="22"/>
        </w:rPr>
      </w:pPr>
      <w:r w:rsidRPr="00FF0CE9">
        <w:rPr>
          <w:rFonts w:ascii="AR P丸ゴシック体M" w:eastAsia="AR P丸ゴシック体M" w:hint="eastAsia"/>
          <w:bCs/>
          <w:sz w:val="22"/>
        </w:rPr>
        <w:t xml:space="preserve">　・レンズがむき出しになっていないこと（ふちなしは使用出来ない）</w:t>
      </w:r>
    </w:p>
    <w:p w:rsidR="00327BAE" w:rsidRPr="00FF0CE9" w:rsidRDefault="00FF0CE9">
      <w:pPr>
        <w:rPr>
          <w:rFonts w:ascii="AR P丸ゴシック体M" w:eastAsia="AR P丸ゴシック体M"/>
          <w:bCs/>
          <w:sz w:val="22"/>
        </w:rPr>
      </w:pPr>
      <w:r w:rsidRPr="00FF0CE9">
        <w:rPr>
          <w:rFonts w:ascii="AR P丸ゴシック体M" w:eastAsia="AR P丸ゴシック体M" w:hint="eastAsia"/>
          <w:sz w:val="22"/>
        </w:rPr>
        <w:t xml:space="preserve">　・</w:t>
      </w:r>
      <w:r w:rsidRPr="00FF0CE9">
        <w:rPr>
          <w:rFonts w:ascii="AR P丸ゴシック体M" w:eastAsia="AR P丸ゴシック体M" w:hint="eastAsia"/>
          <w:bCs/>
          <w:sz w:val="22"/>
        </w:rPr>
        <w:t>レンズを含むすべてのパーツがプラスチック製であること</w:t>
      </w:r>
      <w:bookmarkStart w:id="0" w:name="_GoBack"/>
      <w:bookmarkEnd w:id="0"/>
    </w:p>
    <w:p w:rsidR="00FF0CE9" w:rsidRDefault="00FF0CE9" w:rsidP="00867E7D">
      <w:pPr>
        <w:ind w:left="220" w:hangingChars="100" w:hanging="220"/>
        <w:rPr>
          <w:rFonts w:ascii="AR P丸ゴシック体M" w:eastAsia="AR P丸ゴシック体M"/>
          <w:sz w:val="22"/>
        </w:rPr>
      </w:pPr>
      <w:r w:rsidRPr="00FF0CE9">
        <w:rPr>
          <w:rFonts w:ascii="AR P丸ゴシック体M" w:eastAsia="AR P丸ゴシック体M" w:hint="eastAsia"/>
          <w:bCs/>
          <w:sz w:val="22"/>
        </w:rPr>
        <w:t>その</w:t>
      </w:r>
      <w:r>
        <w:rPr>
          <w:rFonts w:ascii="AR P丸ゴシック体M" w:eastAsia="AR P丸ゴシック体M" w:hint="eastAsia"/>
          <w:bCs/>
          <w:sz w:val="22"/>
        </w:rPr>
        <w:t>他～フ</w:t>
      </w:r>
      <w:r w:rsidRPr="00FF0CE9">
        <w:rPr>
          <w:rFonts w:ascii="AR P丸ゴシック体M" w:eastAsia="AR P丸ゴシック体M" w:hint="eastAsia"/>
          <w:bCs/>
          <w:sz w:val="22"/>
        </w:rPr>
        <w:t>レームは丸みのある形状をしている</w:t>
      </w:r>
      <w:r>
        <w:rPr>
          <w:rFonts w:ascii="AR P丸ゴシック体M" w:eastAsia="AR P丸ゴシック体M" w:hint="eastAsia"/>
          <w:bCs/>
          <w:sz w:val="22"/>
        </w:rPr>
        <w:t>こと（</w:t>
      </w:r>
      <w:r w:rsidRPr="00FF0CE9">
        <w:rPr>
          <w:rFonts w:ascii="AR P丸ゴシック体M" w:eastAsia="AR P丸ゴシック体M" w:hint="eastAsia"/>
          <w:bCs/>
          <w:sz w:val="22"/>
        </w:rPr>
        <w:t>角ばっていない）</w:t>
      </w:r>
      <w:r>
        <w:rPr>
          <w:rFonts w:ascii="AR P丸ゴシック体M" w:eastAsia="AR P丸ゴシック体M" w:hint="eastAsia"/>
          <w:bCs/>
          <w:sz w:val="22"/>
        </w:rPr>
        <w:t>。</w:t>
      </w:r>
    </w:p>
    <w:p w:rsidR="00FF0CE9" w:rsidRPr="00D32005" w:rsidRDefault="003D2EEA" w:rsidP="003D2EEA">
      <w:pPr>
        <w:spacing w:beforeLines="50" w:before="177" w:afterLines="50" w:after="177"/>
        <w:rPr>
          <w:rFonts w:ascii="AR P丸ゴシック体M" w:eastAsia="AR P丸ゴシック体M"/>
          <w:b/>
          <w:sz w:val="22"/>
        </w:rPr>
      </w:pPr>
      <w:r w:rsidRPr="00D32005">
        <w:rPr>
          <w:rFonts w:ascii="AR P丸ゴシック体M" w:eastAsia="AR P丸ゴシック体M" w:hint="eastAsia"/>
          <w:b/>
          <w:sz w:val="22"/>
        </w:rPr>
        <w:t>【使用可能な例】</w:t>
      </w:r>
    </w:p>
    <w:p w:rsidR="00FF0CE9" w:rsidRDefault="00D32005" w:rsidP="00FF0CE9">
      <w:pPr>
        <w:rPr>
          <w:rFonts w:ascii="AR P丸ゴシック体M" w:eastAsia="AR P丸ゴシック体M"/>
          <w:sz w:val="22"/>
        </w:rPr>
      </w:pPr>
      <w:r>
        <w:rPr>
          <w:rFonts w:ascii="AR P丸ゴシック体M" w:eastAsia="AR P丸ゴシック体M"/>
          <w:noProof/>
          <w:sz w:val="22"/>
        </w:rPr>
        <w:pict>
          <v:shapetype id="_x0000_t202" coordsize="21600,21600" o:spt="202" path="m,l,21600r21600,l21600,xe">
            <v:stroke joinstyle="miter"/>
            <v:path gradientshapeok="t" o:connecttype="rect"/>
          </v:shapetype>
          <v:shape id="_x0000_s1031" type="#_x0000_t202" style="position:absolute;left:0;text-align:left;margin-left:242.65pt;margin-top:.5pt;width:218.7pt;height:113.45pt;z-index:251661312">
            <v:textbox style="mso-next-textbox:#_x0000_s1031" inset="5.85pt,.7pt,5.85pt,.7pt">
              <w:txbxContent>
                <w:p w:rsidR="00935003" w:rsidRDefault="00935003">
                  <w:r>
                    <w:rPr>
                      <w:noProof/>
                      <w:color w:val="0000FF"/>
                    </w:rPr>
                    <w:drawing>
                      <wp:inline distT="0" distB="0" distL="0" distR="0" wp14:anchorId="3AEAA144" wp14:editId="5639897D">
                        <wp:extent cx="2518913" cy="1362974"/>
                        <wp:effectExtent l="0" t="0" r="0" b="0"/>
                        <wp:docPr id="4" name="図 4" descr="http://www.kineidou.co.jp/sports/basket/clsm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eidou.co.jp/sports/basket/clsm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320" cy="1363194"/>
                                </a:xfrm>
                                <a:prstGeom prst="rect">
                                  <a:avLst/>
                                </a:prstGeom>
                                <a:noFill/>
                                <a:ln>
                                  <a:noFill/>
                                </a:ln>
                              </pic:spPr>
                            </pic:pic>
                          </a:graphicData>
                        </a:graphic>
                      </wp:inline>
                    </w:drawing>
                  </w:r>
                </w:p>
              </w:txbxContent>
            </v:textbox>
          </v:shape>
        </w:pict>
      </w:r>
      <w:r>
        <w:rPr>
          <w:rFonts w:ascii="AR P丸ゴシック体M" w:eastAsia="AR P丸ゴシック体M"/>
          <w:noProof/>
          <w:sz w:val="22"/>
        </w:rPr>
        <w:pict>
          <v:shape id="_x0000_s1030" type="#_x0000_t202" style="position:absolute;left:0;text-align:left;margin-left:.8pt;margin-top:.5pt;width:224.15pt;height:113.45pt;z-index:251660288">
            <v:textbox style="mso-next-textbox:#_x0000_s1030" inset="5.85pt,.7pt,5.85pt,.7pt">
              <w:txbxContent>
                <w:p w:rsidR="00935003" w:rsidRDefault="00935003">
                  <w:r>
                    <w:rPr>
                      <w:noProof/>
                      <w:color w:val="0000FF"/>
                    </w:rPr>
                    <w:drawing>
                      <wp:inline distT="0" distB="0" distL="0" distR="0" wp14:anchorId="4C8509E4" wp14:editId="26D93CE5">
                        <wp:extent cx="2639681" cy="1440611"/>
                        <wp:effectExtent l="0" t="0" r="0" b="0"/>
                        <wp:docPr id="5" name="図 5" descr="http://www.kineidou.co.jp/sports/basket/svs500nblkrin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eidou.co.jp/sports/basket/svs500nblkrin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9495" cy="1440509"/>
                                </a:xfrm>
                                <a:prstGeom prst="rect">
                                  <a:avLst/>
                                </a:prstGeom>
                                <a:noFill/>
                                <a:ln>
                                  <a:noFill/>
                                </a:ln>
                              </pic:spPr>
                            </pic:pic>
                          </a:graphicData>
                        </a:graphic>
                      </wp:inline>
                    </w:drawing>
                  </w:r>
                </w:p>
              </w:txbxContent>
            </v:textbox>
          </v:shape>
        </w:pict>
      </w: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D32005" w:rsidP="00FF0CE9">
      <w:pPr>
        <w:rPr>
          <w:rFonts w:ascii="AR P丸ゴシック体M" w:eastAsia="AR P丸ゴシック体M"/>
          <w:sz w:val="22"/>
        </w:rPr>
      </w:pPr>
      <w:r>
        <w:rPr>
          <w:rFonts w:ascii="AR P丸ゴシック体M" w:eastAsia="AR P丸ゴシック体M"/>
          <w:noProof/>
          <w:sz w:val="22"/>
        </w:rPr>
        <w:pict>
          <v:shape id="_x0000_s1033" type="#_x0000_t202" style="position:absolute;left:0;text-align:left;margin-left:248.05pt;margin-top:3.6pt;width:213.3pt;height:112.05pt;z-index:251663360">
            <v:textbox inset="5.85pt,.7pt,5.85pt,.7pt">
              <w:txbxContent>
                <w:p w:rsidR="00935003" w:rsidRDefault="00935003">
                  <w:r>
                    <w:rPr>
                      <w:noProof/>
                    </w:rPr>
                    <w:drawing>
                      <wp:inline distT="0" distB="0" distL="0" distR="0" wp14:anchorId="2C1BD1A3" wp14:editId="42462AD6">
                        <wp:extent cx="2544793" cy="1302588"/>
                        <wp:effectExtent l="0" t="0" r="0" b="0"/>
                        <wp:docPr id="6" name="図 6" descr="スポー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ポーツ"/>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7159" cy="1303799"/>
                                </a:xfrm>
                                <a:prstGeom prst="rect">
                                  <a:avLst/>
                                </a:prstGeom>
                                <a:noFill/>
                                <a:ln>
                                  <a:noFill/>
                                </a:ln>
                              </pic:spPr>
                            </pic:pic>
                          </a:graphicData>
                        </a:graphic>
                      </wp:inline>
                    </w:drawing>
                  </w:r>
                </w:p>
              </w:txbxContent>
            </v:textbox>
          </v:shape>
        </w:pict>
      </w:r>
      <w:r>
        <w:rPr>
          <w:rFonts w:ascii="AR P丸ゴシック体M" w:eastAsia="AR P丸ゴシック体M"/>
          <w:noProof/>
          <w:sz w:val="22"/>
        </w:rPr>
        <w:pict>
          <v:shape id="_x0000_s1032" type="#_x0000_t202" style="position:absolute;left:0;text-align:left;margin-left:4.2pt;margin-top:3.6pt;width:220.75pt;height:118.15pt;z-index:251662336">
            <v:textbox inset="5.85pt,.7pt,5.85pt,.7pt">
              <w:txbxContent>
                <w:p w:rsidR="00935003" w:rsidRDefault="00935003">
                  <w:r>
                    <w:rPr>
                      <w:noProof/>
                      <w:color w:val="0000FF"/>
                    </w:rPr>
                    <w:drawing>
                      <wp:inline distT="0" distB="0" distL="0" distR="0" wp14:anchorId="77E692F4" wp14:editId="63A09047">
                        <wp:extent cx="2648310" cy="1414732"/>
                        <wp:effectExtent l="0" t="0" r="0" b="0"/>
                        <wp:docPr id="3" name="図 3" descr="http://www.kineidou.co.jp/sports/basket/mx20ic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neidou.co.jp/sports/basket/mx20ico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8077" cy="1414608"/>
                                </a:xfrm>
                                <a:prstGeom prst="rect">
                                  <a:avLst/>
                                </a:prstGeom>
                                <a:noFill/>
                                <a:ln>
                                  <a:noFill/>
                                </a:ln>
                              </pic:spPr>
                            </pic:pic>
                          </a:graphicData>
                        </a:graphic>
                      </wp:inline>
                    </w:drawing>
                  </w:r>
                </w:p>
              </w:txbxContent>
            </v:textbox>
          </v:shape>
        </w:pict>
      </w: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D32005" w:rsidP="00FF0CE9">
      <w:pPr>
        <w:rPr>
          <w:rFonts w:ascii="AR P丸ゴシック体M" w:eastAsia="AR P丸ゴシック体M"/>
          <w:sz w:val="22"/>
        </w:rPr>
      </w:pPr>
      <w:r>
        <w:rPr>
          <w:rFonts w:ascii="AR P丸ゴシック体M" w:eastAsia="AR P丸ゴシック体M"/>
          <w:noProof/>
          <w:sz w:val="22"/>
        </w:rPr>
        <w:pict>
          <v:shape id="_x0000_s1034" type="#_x0000_t202" style="position:absolute;left:0;text-align:left;margin-left:4.2pt;margin-top:14.2pt;width:220.75pt;height:157.55pt;z-index:251664384">
            <v:textbox inset="5.85pt,.7pt,5.85pt,.7pt">
              <w:txbxContent>
                <w:p w:rsidR="00935003" w:rsidRDefault="00935003">
                  <w:r>
                    <w:rPr>
                      <w:noProof/>
                    </w:rPr>
                    <w:drawing>
                      <wp:inline distT="0" distB="0" distL="0" distR="0" wp14:anchorId="4415EF8B" wp14:editId="189386F5">
                        <wp:extent cx="2644517" cy="1871932"/>
                        <wp:effectExtent l="0" t="0" r="0" b="0"/>
                        <wp:docPr id="7" name="図 7" descr="http://tokyodo.org/goggl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kyodo.org/goggle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0651" cy="1876274"/>
                                </a:xfrm>
                                <a:prstGeom prst="rect">
                                  <a:avLst/>
                                </a:prstGeom>
                                <a:noFill/>
                                <a:ln>
                                  <a:noFill/>
                                </a:ln>
                              </pic:spPr>
                            </pic:pic>
                          </a:graphicData>
                        </a:graphic>
                      </wp:inline>
                    </w:drawing>
                  </w:r>
                </w:p>
              </w:txbxContent>
            </v:textbox>
          </v:shape>
        </w:pict>
      </w:r>
      <w:r>
        <w:rPr>
          <w:rFonts w:ascii="AR P丸ゴシック体M" w:eastAsia="AR P丸ゴシック体M"/>
          <w:noProof/>
          <w:sz w:val="22"/>
        </w:rPr>
        <w:pict>
          <v:shape id="_x0000_s1035" type="#_x0000_t202" style="position:absolute;left:0;text-align:left;margin-left:248.05pt;margin-top:8.05pt;width:218.75pt;height:163.7pt;z-index:251665408">
            <v:textbox inset="5.85pt,.7pt,5.85pt,.7pt">
              <w:txbxContent>
                <w:p w:rsidR="00867E7D" w:rsidRPr="00867E7D" w:rsidRDefault="00867E7D">
                  <w:pPr>
                    <w:rPr>
                      <w:b/>
                      <w:sz w:val="22"/>
                    </w:rPr>
                  </w:pPr>
                  <w:r>
                    <w:rPr>
                      <w:rFonts w:hint="eastAsia"/>
                      <w:b/>
                      <w:sz w:val="22"/>
                    </w:rPr>
                    <w:t>【</w:t>
                  </w:r>
                  <w:r w:rsidRPr="00867E7D">
                    <w:rPr>
                      <w:rFonts w:hint="eastAsia"/>
                      <w:b/>
                      <w:sz w:val="22"/>
                    </w:rPr>
                    <w:t>注意</w:t>
                  </w:r>
                  <w:r>
                    <w:rPr>
                      <w:rFonts w:hint="eastAsia"/>
                      <w:b/>
                      <w:sz w:val="22"/>
                    </w:rPr>
                    <w:t>】</w:t>
                  </w:r>
                </w:p>
                <w:p w:rsidR="00867E7D" w:rsidRDefault="00867E7D">
                  <w:pPr>
                    <w:rPr>
                      <w:sz w:val="22"/>
                    </w:rPr>
                  </w:pPr>
                  <w:r>
                    <w:rPr>
                      <w:rFonts w:hint="eastAsia"/>
                      <w:sz w:val="22"/>
                    </w:rPr>
                    <w:t xml:space="preserve">　眼鏡店で「スポーツ眼鏡」と言われて購入したので大丈夫？　スポーツ眼鏡にもいろいろあります。陸上や自転車と，身体接触のあるバスケットでは仕様が違うので間違えないようにしてください。</w:t>
                  </w:r>
                </w:p>
                <w:p w:rsidR="00867E7D" w:rsidRPr="00867E7D" w:rsidRDefault="00867E7D">
                  <w:pPr>
                    <w:rPr>
                      <w:sz w:val="22"/>
                    </w:rPr>
                  </w:pPr>
                  <w:r>
                    <w:rPr>
                      <w:rFonts w:hint="eastAsia"/>
                      <w:sz w:val="22"/>
                    </w:rPr>
                    <w:t xml:space="preserve">　紹介写真は使用可能な形状を説明したもので，特定の商品を勧めるものではありません。</w:t>
                  </w:r>
                </w:p>
              </w:txbxContent>
            </v:textbox>
          </v:shape>
        </w:pict>
      </w: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Default="00FF0CE9" w:rsidP="00FF0CE9">
      <w:pPr>
        <w:rPr>
          <w:rFonts w:ascii="AR P丸ゴシック体M" w:eastAsia="AR P丸ゴシック体M"/>
          <w:sz w:val="22"/>
        </w:rPr>
      </w:pPr>
    </w:p>
    <w:p w:rsidR="00FF0CE9" w:rsidRPr="00FF0CE9" w:rsidRDefault="00FF0CE9" w:rsidP="00FF0CE9">
      <w:pPr>
        <w:rPr>
          <w:rFonts w:ascii="AR P丸ゴシック体M" w:eastAsia="AR P丸ゴシック体M"/>
          <w:sz w:val="22"/>
        </w:rPr>
      </w:pPr>
    </w:p>
    <w:p w:rsidR="00327BAE" w:rsidRDefault="00327BAE">
      <w:pPr>
        <w:rPr>
          <w:sz w:val="20"/>
          <w:szCs w:val="20"/>
        </w:rPr>
      </w:pPr>
    </w:p>
    <w:p w:rsidR="00327BAE" w:rsidRDefault="00327BAE">
      <w:pPr>
        <w:rPr>
          <w:sz w:val="20"/>
          <w:szCs w:val="20"/>
        </w:rPr>
      </w:pPr>
    </w:p>
    <w:p w:rsidR="00ED6A9D" w:rsidRPr="00C469FE" w:rsidRDefault="00ED6A9D" w:rsidP="00ED6A9D"/>
    <w:sectPr w:rsidR="00ED6A9D" w:rsidRPr="00C469FE" w:rsidSect="00766F0F">
      <w:pgSz w:w="11906" w:h="16838" w:code="9"/>
      <w:pgMar w:top="1134" w:right="1247" w:bottom="1134" w:left="1247" w:header="851" w:footer="992" w:gutter="0"/>
      <w:cols w:space="425"/>
      <w:docGrid w:type="linesAndChars"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82961"/>
    <w:multiLevelType w:val="hybridMultilevel"/>
    <w:tmpl w:val="12A6CC18"/>
    <w:lvl w:ilvl="0" w:tplc="14F2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191958"/>
    <w:multiLevelType w:val="hybridMultilevel"/>
    <w:tmpl w:val="9BB853DE"/>
    <w:lvl w:ilvl="0" w:tplc="5C56AFA4">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69FE"/>
    <w:rsid w:val="00327BAE"/>
    <w:rsid w:val="003D2EEA"/>
    <w:rsid w:val="00635113"/>
    <w:rsid w:val="00766F0F"/>
    <w:rsid w:val="00867E7D"/>
    <w:rsid w:val="00935003"/>
    <w:rsid w:val="00C469FE"/>
    <w:rsid w:val="00D32005"/>
    <w:rsid w:val="00DF4660"/>
    <w:rsid w:val="00ED6A9D"/>
    <w:rsid w:val="00F32D6A"/>
    <w:rsid w:val="00FD179B"/>
    <w:rsid w:val="00FF0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B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BAE"/>
    <w:rPr>
      <w:rFonts w:asciiTheme="majorHAnsi" w:eastAsiaTheme="majorEastAsia" w:hAnsiTheme="majorHAnsi" w:cstheme="majorBidi"/>
      <w:sz w:val="18"/>
      <w:szCs w:val="18"/>
    </w:rPr>
  </w:style>
  <w:style w:type="paragraph" w:styleId="a5">
    <w:name w:val="List Paragraph"/>
    <w:basedOn w:val="a"/>
    <w:uiPriority w:val="34"/>
    <w:qFormat/>
    <w:rsid w:val="00ED6A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kineidou.co.jp/swans/swansgazou/eyeguard/svs700n/svs700n.html" TargetMode="External"/><Relationship Id="rId12" Type="http://schemas.openxmlformats.org/officeDocument/2006/relationships/hyperlink" Target="http://www.kineidou.co.jp/sports/jr/recspecs/mx20/mx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kineidou.co.jp/swans/swansgazou/eyeguard/svs500n/svs500n.html"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5F60-03ED-467E-A105-9EE7909A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5</cp:revision>
  <dcterms:created xsi:type="dcterms:W3CDTF">2013-07-05T01:41:00Z</dcterms:created>
  <dcterms:modified xsi:type="dcterms:W3CDTF">2013-07-05T07:00:00Z</dcterms:modified>
</cp:coreProperties>
</file>